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71" w:rsidRDefault="00FA2571" w:rsidP="00FA2571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A2571" w:rsidRDefault="00FA2571" w:rsidP="00FA2571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A2571" w:rsidRDefault="00FA2571" w:rsidP="00FA2571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A2571" w:rsidRPr="003B139F" w:rsidRDefault="00FA2571" w:rsidP="00FA2571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3B139F">
        <w:rPr>
          <w:rFonts w:ascii="仿宋_GB2312" w:eastAsia="仿宋_GB2312" w:hAnsi="宋体" w:cs="宋体" w:hint="eastAsia"/>
          <w:color w:val="000000"/>
          <w:kern w:val="0"/>
          <w:sz w:val="24"/>
        </w:rPr>
        <w:t>沪应用学院团字（20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 w:rsidR="007F4A12">
        <w:rPr>
          <w:rFonts w:ascii="仿宋_GB2312" w:eastAsia="仿宋_GB2312" w:hAnsi="宋体" w:cs="宋体" w:hint="eastAsia"/>
          <w:color w:val="000000"/>
          <w:kern w:val="0"/>
          <w:sz w:val="24"/>
        </w:rPr>
        <w:t>4</w:t>
      </w:r>
      <w:r w:rsidRPr="003B139F">
        <w:rPr>
          <w:rFonts w:ascii="仿宋_GB2312" w:eastAsia="仿宋_GB2312" w:hAnsi="宋体" w:cs="宋体" w:hint="eastAsia"/>
          <w:color w:val="000000"/>
          <w:kern w:val="0"/>
          <w:sz w:val="24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</w:t>
      </w:r>
      <w:r w:rsidRPr="00240490">
        <w:rPr>
          <w:rFonts w:ascii="仿宋_GB2312" w:eastAsia="仿宋_GB2312" w:hAnsi="宋体" w:cs="宋体" w:hint="eastAsia"/>
          <w:color w:val="000000"/>
          <w:kern w:val="0"/>
          <w:sz w:val="24"/>
        </w:rPr>
        <w:t>号</w:t>
      </w:r>
    </w:p>
    <w:p w:rsidR="00FA2571" w:rsidRPr="00542B0B" w:rsidRDefault="00FA2571" w:rsidP="00FA2571">
      <w:pPr>
        <w:widowControl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</w:p>
    <w:p w:rsidR="00FA2571" w:rsidRDefault="00FA2571" w:rsidP="00FA2571">
      <w:pPr>
        <w:widowControl/>
        <w:spacing w:line="360" w:lineRule="auto"/>
        <w:ind w:leftChars="-85" w:left="-178" w:rightChars="-73" w:right="-153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542B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  </w:t>
      </w:r>
      <w:r w:rsidRPr="00542B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关于</w:t>
      </w:r>
      <w:r w:rsidRPr="00542B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表彰2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01</w:t>
      </w:r>
      <w:r w:rsidR="00EC2806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年上海应用技术学院寒假社会实践</w:t>
      </w:r>
    </w:p>
    <w:p w:rsidR="00FA2571" w:rsidRDefault="00FA2571" w:rsidP="00FA2571">
      <w:pPr>
        <w:widowControl/>
        <w:tabs>
          <w:tab w:val="left" w:pos="2560"/>
          <w:tab w:val="center" w:pos="4153"/>
        </w:tabs>
        <w:spacing w:line="360" w:lineRule="auto"/>
        <w:jc w:val="left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ab/>
      </w:r>
      <w:r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ab/>
      </w:r>
      <w:r w:rsidRPr="00542B0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优秀集体项目的决定</w:t>
      </w:r>
    </w:p>
    <w:p w:rsidR="00FA2571" w:rsidRPr="00542B0B" w:rsidRDefault="00FA2571" w:rsidP="00FA2571">
      <w:pPr>
        <w:widowControl/>
        <w:spacing w:line="360" w:lineRule="auto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</w:p>
    <w:p w:rsidR="00FA2571" w:rsidRPr="00CD58CE" w:rsidRDefault="00FA2571" w:rsidP="00FA257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各二级学院团总支</w:t>
      </w:r>
      <w:r w:rsidRPr="00721B6A">
        <w:rPr>
          <w:rFonts w:ascii="仿宋_GB2312" w:eastAsia="仿宋_GB2312" w:hAnsi="宋体" w:cs="宋体" w:hint="eastAsia"/>
          <w:color w:val="000000"/>
          <w:kern w:val="0"/>
          <w:sz w:val="28"/>
        </w:rPr>
        <w:t>：</w:t>
      </w:r>
    </w:p>
    <w:p w:rsidR="00FA2571" w:rsidRDefault="00FA2571" w:rsidP="00FA2571">
      <w:pPr>
        <w:widowControl/>
        <w:tabs>
          <w:tab w:val="left" w:pos="540"/>
        </w:tabs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寒假社会实践是促进大学生素质教育,加强和改进青年学生思想政治工作，引导学生健康成长和成才的重要举措，是学生了解社会、服务社会，培养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观察能力和研究能力的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重要途径。</w:t>
      </w:r>
    </w:p>
    <w:p w:rsidR="009321DF" w:rsidRDefault="006D17FF" w:rsidP="00FA2571">
      <w:pPr>
        <w:widowControl/>
        <w:tabs>
          <w:tab w:val="left" w:pos="540"/>
        </w:tabs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617043">
        <w:rPr>
          <w:rFonts w:ascii="仿宋_GB2312" w:eastAsia="仿宋_GB2312" w:hint="eastAsia"/>
          <w:sz w:val="28"/>
          <w:szCs w:val="28"/>
        </w:rPr>
        <w:t>201</w:t>
      </w:r>
      <w:r w:rsidR="005E1D60">
        <w:rPr>
          <w:rFonts w:ascii="仿宋_GB2312" w:eastAsia="仿宋_GB2312" w:hint="eastAsia"/>
          <w:sz w:val="28"/>
          <w:szCs w:val="28"/>
        </w:rPr>
        <w:t>4</w:t>
      </w:r>
      <w:r w:rsidRPr="00617043">
        <w:rPr>
          <w:rFonts w:ascii="仿宋_GB2312" w:eastAsia="仿宋_GB2312" w:hint="eastAsia"/>
          <w:sz w:val="28"/>
          <w:szCs w:val="28"/>
        </w:rPr>
        <w:t>年寒假</w:t>
      </w:r>
      <w:r>
        <w:rPr>
          <w:rFonts w:ascii="仿宋_GB2312" w:eastAsia="仿宋_GB2312" w:hint="eastAsia"/>
          <w:sz w:val="28"/>
          <w:szCs w:val="28"/>
        </w:rPr>
        <w:t>社会实践</w:t>
      </w:r>
      <w:r w:rsidR="007F4A12">
        <w:rPr>
          <w:rFonts w:ascii="仿宋_GB2312" w:eastAsia="仿宋_GB2312" w:hint="eastAsia"/>
          <w:sz w:val="28"/>
          <w:szCs w:val="28"/>
        </w:rPr>
        <w:t>活动学院经过评选</w:t>
      </w:r>
      <w:r w:rsidR="007F4A12" w:rsidRPr="00617043">
        <w:rPr>
          <w:rFonts w:ascii="仿宋_GB2312" w:eastAsia="仿宋_GB2312" w:hint="eastAsia"/>
          <w:sz w:val="28"/>
          <w:szCs w:val="28"/>
        </w:rPr>
        <w:t>共</w:t>
      </w:r>
      <w:r w:rsidR="007F4A12">
        <w:rPr>
          <w:rFonts w:ascii="仿宋_GB2312" w:eastAsia="仿宋_GB2312" w:hint="eastAsia"/>
          <w:sz w:val="28"/>
          <w:szCs w:val="28"/>
        </w:rPr>
        <w:t>推荐</w:t>
      </w:r>
      <w:r w:rsidRPr="00617043">
        <w:rPr>
          <w:rFonts w:ascii="仿宋_GB2312" w:eastAsia="仿宋_GB2312" w:hint="eastAsia"/>
          <w:sz w:val="28"/>
          <w:szCs w:val="28"/>
        </w:rPr>
        <w:t>申报</w:t>
      </w:r>
      <w:r w:rsidR="00EC2806">
        <w:rPr>
          <w:rFonts w:ascii="仿宋_GB2312" w:eastAsia="仿宋_GB2312" w:hint="eastAsia"/>
          <w:sz w:val="28"/>
          <w:szCs w:val="28"/>
        </w:rPr>
        <w:t>74</w:t>
      </w:r>
      <w:r w:rsidRPr="00617043">
        <w:rPr>
          <w:rFonts w:ascii="仿宋_GB2312" w:eastAsia="仿宋_GB2312" w:hint="eastAsia"/>
          <w:sz w:val="28"/>
          <w:szCs w:val="28"/>
        </w:rPr>
        <w:t>个</w:t>
      </w:r>
      <w:r w:rsidR="007F4A12">
        <w:rPr>
          <w:rFonts w:ascii="仿宋_GB2312" w:eastAsia="仿宋_GB2312" w:hint="eastAsia"/>
          <w:sz w:val="28"/>
          <w:szCs w:val="28"/>
        </w:rPr>
        <w:t>调研</w:t>
      </w:r>
      <w:r w:rsidR="007F4A12" w:rsidRPr="00617043">
        <w:rPr>
          <w:rFonts w:ascii="仿宋_GB2312" w:eastAsia="仿宋_GB2312" w:hint="eastAsia"/>
          <w:sz w:val="28"/>
          <w:szCs w:val="28"/>
        </w:rPr>
        <w:t>课题</w:t>
      </w:r>
      <w:r w:rsidRPr="00617043">
        <w:rPr>
          <w:rFonts w:ascii="仿宋_GB2312" w:eastAsia="仿宋_GB2312" w:hint="eastAsia"/>
          <w:sz w:val="28"/>
          <w:szCs w:val="28"/>
        </w:rPr>
        <w:t>项目，经</w:t>
      </w:r>
      <w:r>
        <w:rPr>
          <w:rFonts w:ascii="仿宋_GB2312" w:eastAsia="仿宋_GB2312" w:hint="eastAsia"/>
          <w:sz w:val="28"/>
          <w:szCs w:val="28"/>
        </w:rPr>
        <w:t>5</w:t>
      </w:r>
      <w:r w:rsidRPr="00617043">
        <w:rPr>
          <w:rFonts w:ascii="仿宋_GB2312" w:eastAsia="仿宋_GB2312" w:hint="eastAsia"/>
          <w:sz w:val="28"/>
          <w:szCs w:val="28"/>
        </w:rPr>
        <w:t>位专家审阅评分，共遴选出</w:t>
      </w:r>
      <w:r>
        <w:rPr>
          <w:rFonts w:ascii="仿宋_GB2312" w:eastAsia="仿宋_GB2312" w:hint="eastAsia"/>
          <w:sz w:val="28"/>
          <w:szCs w:val="28"/>
        </w:rPr>
        <w:t>4</w:t>
      </w:r>
      <w:r w:rsidR="00EC2806">
        <w:rPr>
          <w:rFonts w:ascii="仿宋_GB2312" w:eastAsia="仿宋_GB2312" w:hint="eastAsia"/>
          <w:sz w:val="28"/>
          <w:szCs w:val="28"/>
        </w:rPr>
        <w:t>7</w:t>
      </w:r>
      <w:r w:rsidRPr="00617043">
        <w:rPr>
          <w:rFonts w:ascii="仿宋_GB2312" w:eastAsia="仿宋_GB2312" w:hint="eastAsia"/>
          <w:sz w:val="28"/>
          <w:szCs w:val="28"/>
        </w:rPr>
        <w:t>个较为优秀的项目予以立项</w:t>
      </w:r>
      <w:r w:rsidRPr="006D17FF">
        <w:rPr>
          <w:rFonts w:ascii="仿宋_GB2312" w:eastAsia="仿宋_GB2312" w:hAnsi="宋体" w:cs="宋体" w:hint="eastAsia"/>
          <w:color w:val="000000"/>
          <w:kern w:val="0"/>
          <w:sz w:val="28"/>
        </w:rPr>
        <w:t>，学校对其进行经费支持</w:t>
      </w:r>
      <w:r w:rsidRPr="00617043">
        <w:rPr>
          <w:rFonts w:ascii="仿宋_GB2312" w:eastAsia="仿宋_GB2312" w:hint="eastAsia"/>
          <w:sz w:val="28"/>
          <w:szCs w:val="28"/>
        </w:rPr>
        <w:t>。</w:t>
      </w:r>
      <w:r w:rsidRPr="006D17FF">
        <w:rPr>
          <w:rFonts w:ascii="仿宋_GB2312" w:eastAsia="仿宋_GB2312" w:hAnsi="宋体" w:cs="宋体" w:hint="eastAsia"/>
          <w:color w:val="000000"/>
          <w:kern w:val="0"/>
          <w:sz w:val="28"/>
        </w:rPr>
        <w:t>实践内容包括政策宣传、国情考查、社会调研、教育帮扶、环境保护、公益服务等。各项目团队的实践地点覆盖上海、拉萨、安徽、重庆、河南、江苏、浙江、陕西、黑龙江、四川等多个省市、自治区，汇集了七十多篇调研报告。</w:t>
      </w:r>
    </w:p>
    <w:p w:rsidR="00FA2571" w:rsidRPr="00CD58CE" w:rsidRDefault="00FA2571" w:rsidP="00FA2571">
      <w:pPr>
        <w:widowControl/>
        <w:tabs>
          <w:tab w:val="left" w:pos="540"/>
        </w:tabs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校团委邀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请专家</w:t>
      </w:r>
      <w:r w:rsidR="00D509FE">
        <w:rPr>
          <w:rFonts w:ascii="仿宋_GB2312" w:eastAsia="仿宋_GB2312" w:hAnsi="宋体" w:cs="宋体" w:hint="eastAsia"/>
          <w:color w:val="000000"/>
          <w:kern w:val="0"/>
          <w:sz w:val="28"/>
        </w:rPr>
        <w:t>进行评审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，其中</w:t>
      </w:r>
      <w:r w:rsidR="007F1A0D" w:rsidRPr="007F1A0D">
        <w:rPr>
          <w:rFonts w:ascii="仿宋_GB2312" w:eastAsia="仿宋_GB2312" w:hAnsi="宋体" w:cs="宋体" w:hint="eastAsia"/>
          <w:color w:val="000000"/>
          <w:kern w:val="0"/>
          <w:sz w:val="28"/>
        </w:rPr>
        <w:t>香料香精技术与工程学院</w:t>
      </w:r>
      <w:r w:rsidR="00833100">
        <w:rPr>
          <w:rFonts w:ascii="仿宋_GB2312" w:eastAsia="仿宋_GB2312" w:hAnsi="宋体" w:cs="宋体" w:hint="eastAsia"/>
          <w:color w:val="000000"/>
          <w:kern w:val="0"/>
          <w:sz w:val="28"/>
        </w:rPr>
        <w:t>的《</w:t>
      </w:r>
      <w:r w:rsidR="00EC2806" w:rsidRPr="00EC2806">
        <w:rPr>
          <w:rFonts w:ascii="仿宋_GB2312" w:eastAsia="仿宋_GB2312" w:hAnsi="宋体" w:cs="宋体" w:hint="eastAsia"/>
          <w:color w:val="000000"/>
          <w:kern w:val="0"/>
          <w:sz w:val="28"/>
        </w:rPr>
        <w:t>食品香精认识误区及评价</w:t>
      </w:r>
      <w:r w:rsidR="00833100">
        <w:rPr>
          <w:rFonts w:ascii="仿宋_GB2312" w:eastAsia="仿宋_GB2312" w:hAnsi="宋体" w:cs="宋体" w:hint="eastAsia"/>
          <w:color w:val="000000"/>
          <w:kern w:val="0"/>
          <w:sz w:val="28"/>
        </w:rPr>
        <w:t>》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等</w:t>
      </w:r>
      <w:r w:rsidR="009321DF">
        <w:rPr>
          <w:rFonts w:ascii="仿宋_GB2312" w:eastAsia="仿宋_GB2312" w:hAnsi="宋体" w:cs="宋体" w:hint="eastAsia"/>
          <w:color w:val="000000"/>
          <w:kern w:val="0"/>
          <w:sz w:val="28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个项目获得201</w:t>
      </w:r>
      <w:r w:rsidR="00EC2806">
        <w:rPr>
          <w:rFonts w:ascii="仿宋_GB2312" w:eastAsia="仿宋_GB2312" w:hAnsi="宋体" w:cs="宋体" w:hint="eastAsia"/>
          <w:color w:val="000000"/>
          <w:kern w:val="0"/>
          <w:sz w:val="28"/>
        </w:rPr>
        <w:t>4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年上海应用技术学院寒假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社会实践课题调研类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优秀集体项目。</w:t>
      </w:r>
    </w:p>
    <w:p w:rsidR="00FA2571" w:rsidRDefault="00FA2571" w:rsidP="00FA2571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希望各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学院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团总支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总结经验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推动大学生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社会实践活动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水平再上新的台阶。</w:t>
      </w:r>
    </w:p>
    <w:p w:rsidR="007F4A12" w:rsidRDefault="007F4A12" w:rsidP="00FA2571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</w:p>
    <w:p w:rsidR="007F4A12" w:rsidRPr="00CD58CE" w:rsidRDefault="007F4A12" w:rsidP="00FA2571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</w:p>
    <w:p w:rsidR="00FA2571" w:rsidRPr="00F83063" w:rsidRDefault="00FA2571" w:rsidP="00FA2571">
      <w:pPr>
        <w:widowControl/>
        <w:spacing w:line="3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</w:p>
    <w:p w:rsidR="00FA2571" w:rsidRDefault="00FA2571" w:rsidP="009321DF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  <w:r w:rsidRPr="00CA3C81">
        <w:rPr>
          <w:rFonts w:ascii="仿宋_GB2312" w:eastAsia="仿宋_GB2312" w:hAnsi="宋体" w:cs="宋体" w:hint="eastAsia"/>
          <w:color w:val="000000"/>
          <w:kern w:val="0"/>
          <w:sz w:val="28"/>
        </w:rPr>
        <w:t>附件：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1</w:t>
      </w:r>
      <w:r w:rsidR="00EC2806">
        <w:rPr>
          <w:rFonts w:ascii="仿宋_GB2312" w:eastAsia="仿宋_GB2312" w:hAnsi="宋体" w:cs="宋体" w:hint="eastAsia"/>
          <w:color w:val="000000"/>
          <w:kern w:val="0"/>
          <w:sz w:val="28"/>
        </w:rPr>
        <w:t>4</w:t>
      </w:r>
      <w:r w:rsidRPr="00CD58CE">
        <w:rPr>
          <w:rFonts w:ascii="仿宋_GB2312" w:eastAsia="仿宋_GB2312" w:hAnsi="宋体" w:cs="宋体" w:hint="eastAsia"/>
          <w:color w:val="000000"/>
          <w:kern w:val="0"/>
          <w:sz w:val="28"/>
        </w:rPr>
        <w:t>年上海应用技术学院寒假社会实践优秀集体项目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一览表</w:t>
      </w:r>
    </w:p>
    <w:p w:rsidR="00FA2571" w:rsidRPr="00CC4888" w:rsidRDefault="00FA2571" w:rsidP="00FA257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FA2571" w:rsidRDefault="00FA2571" w:rsidP="00FA257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FA2571" w:rsidRPr="009321DF" w:rsidRDefault="00FA2571" w:rsidP="00FA257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833100" w:rsidRDefault="00833100" w:rsidP="00FA257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833100" w:rsidRDefault="00833100" w:rsidP="00FA257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FA2571" w:rsidRPr="007D079D" w:rsidRDefault="00FA2571" w:rsidP="00FA257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FA2571" w:rsidRPr="00542B0B" w:rsidRDefault="00FA2571" w:rsidP="00833100">
      <w:pPr>
        <w:widowControl/>
        <w:spacing w:line="360" w:lineRule="auto"/>
        <w:jc w:val="right"/>
        <w:rPr>
          <w:rFonts w:ascii="仿宋_GB2312" w:eastAsia="仿宋_GB2312" w:hAnsi="宋体" w:cs="宋体"/>
          <w:color w:val="000000"/>
          <w:kern w:val="0"/>
          <w:sz w:val="28"/>
        </w:rPr>
      </w:pPr>
      <w:r w:rsidRPr="00542B0B">
        <w:rPr>
          <w:rFonts w:ascii="仿宋_GB2312" w:eastAsia="仿宋_GB2312" w:hAnsi="宋体" w:cs="宋体" w:hint="eastAsia"/>
          <w:color w:val="000000"/>
          <w:kern w:val="0"/>
          <w:sz w:val="28"/>
        </w:rPr>
        <w:t>共青团上海应用技术学院委员会</w:t>
      </w:r>
    </w:p>
    <w:p w:rsidR="00FA2571" w:rsidRPr="00542B0B" w:rsidRDefault="00FA2571" w:rsidP="00833100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542B0B"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                                     20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1</w:t>
      </w:r>
      <w:r w:rsidR="00EC2806">
        <w:rPr>
          <w:rFonts w:ascii="仿宋_GB2312" w:eastAsia="仿宋_GB2312" w:hAnsi="宋体" w:cs="宋体" w:hint="eastAsia"/>
          <w:color w:val="000000"/>
          <w:kern w:val="0"/>
          <w:sz w:val="28"/>
        </w:rPr>
        <w:t>4</w:t>
      </w:r>
      <w:r w:rsidRPr="00542B0B">
        <w:rPr>
          <w:rFonts w:ascii="仿宋_GB2312" w:eastAsia="仿宋_GB2312" w:hAnsi="宋体" w:cs="宋体" w:hint="eastAsia"/>
          <w:color w:val="000000"/>
          <w:kern w:val="0"/>
          <w:sz w:val="28"/>
        </w:rPr>
        <w:t>年</w:t>
      </w:r>
      <w:r w:rsidR="007F4A12">
        <w:rPr>
          <w:rFonts w:ascii="仿宋_GB2312" w:eastAsia="仿宋_GB2312" w:hAnsi="宋体" w:cs="宋体" w:hint="eastAsia"/>
          <w:color w:val="000000"/>
          <w:kern w:val="0"/>
          <w:sz w:val="28"/>
        </w:rPr>
        <w:t>3</w:t>
      </w:r>
      <w:r w:rsidRPr="00542B0B">
        <w:rPr>
          <w:rFonts w:ascii="仿宋_GB2312" w:eastAsia="仿宋_GB2312" w:hAnsi="宋体" w:cs="宋体" w:hint="eastAsia"/>
          <w:color w:val="000000"/>
          <w:kern w:val="0"/>
          <w:sz w:val="28"/>
        </w:rPr>
        <w:t>月</w:t>
      </w:r>
      <w:r w:rsidR="007F4A12">
        <w:rPr>
          <w:rFonts w:ascii="仿宋_GB2312" w:eastAsia="仿宋_GB2312" w:hAnsi="宋体" w:cs="宋体" w:hint="eastAsia"/>
          <w:color w:val="000000"/>
          <w:kern w:val="0"/>
          <w:sz w:val="28"/>
        </w:rPr>
        <w:t>26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</w:t>
      </w:r>
      <w:r w:rsidRPr="00542B0B">
        <w:rPr>
          <w:rFonts w:ascii="仿宋_GB2312" w:eastAsia="仿宋_GB2312" w:hAnsi="宋体" w:cs="宋体" w:hint="eastAsia"/>
          <w:color w:val="000000"/>
          <w:kern w:val="0"/>
          <w:sz w:val="28"/>
        </w:rPr>
        <w:t>日</w:t>
      </w: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Default="00FA2571" w:rsidP="00FA2571">
      <w:pPr>
        <w:widowControl/>
        <w:spacing w:line="360" w:lineRule="exact"/>
        <w:jc w:val="left"/>
        <w:rPr>
          <w:rFonts w:ascii="黑体" w:eastAsia="黑体" w:hAnsi="宋体" w:cs="宋体"/>
          <w:b/>
          <w:color w:val="000000"/>
          <w:kern w:val="0"/>
          <w:sz w:val="28"/>
          <w:szCs w:val="28"/>
          <w:u w:val="thick"/>
        </w:rPr>
      </w:pPr>
    </w:p>
    <w:p w:rsidR="00FA2571" w:rsidRPr="001F5ABC" w:rsidRDefault="00FA2571" w:rsidP="00FA2571">
      <w:pPr>
        <w:widowControl/>
        <w:pBdr>
          <w:bottom w:val="single" w:sz="4" w:space="1" w:color="auto"/>
        </w:pBdr>
        <w:spacing w:line="600" w:lineRule="exact"/>
        <w:jc w:val="left"/>
        <w:rPr>
          <w:rFonts w:ascii="宋体" w:eastAsia="黑体" w:hAnsi="宋体" w:cs="宋体"/>
          <w:b/>
          <w:color w:val="000000"/>
          <w:kern w:val="0"/>
          <w:sz w:val="28"/>
          <w:szCs w:val="28"/>
        </w:rPr>
      </w:pPr>
      <w:r w:rsidRPr="001F5ABC">
        <w:rPr>
          <w:rFonts w:eastAsia="黑体" w:hAnsi="宋体" w:cs="宋体" w:hint="eastAsia"/>
          <w:b/>
          <w:color w:val="000000"/>
          <w:kern w:val="0"/>
          <w:sz w:val="28"/>
          <w:szCs w:val="28"/>
        </w:rPr>
        <w:t>主题词：</w:t>
      </w:r>
      <w:r>
        <w:rPr>
          <w:rFonts w:eastAsia="黑体" w:hAnsi="宋体" w:cs="宋体" w:hint="eastAsia"/>
          <w:b/>
          <w:color w:val="000000"/>
          <w:kern w:val="0"/>
          <w:sz w:val="28"/>
          <w:szCs w:val="28"/>
        </w:rPr>
        <w:t>寒假社会实践</w:t>
      </w:r>
      <w:r w:rsidRPr="001F5ABC">
        <w:rPr>
          <w:rFonts w:eastAsia="黑体"/>
          <w:b/>
          <w:color w:val="000000"/>
          <w:kern w:val="0"/>
          <w:sz w:val="28"/>
          <w:szCs w:val="28"/>
        </w:rPr>
        <w:t xml:space="preserve">    </w:t>
      </w:r>
      <w:r>
        <w:rPr>
          <w:rFonts w:eastAsia="黑体" w:hAnsi="宋体" w:cs="宋体" w:hint="eastAsia"/>
          <w:b/>
          <w:color w:val="000000"/>
          <w:kern w:val="0"/>
          <w:sz w:val="28"/>
          <w:szCs w:val="28"/>
        </w:rPr>
        <w:t>表彰决定</w:t>
      </w:r>
    </w:p>
    <w:p w:rsidR="00FA2571" w:rsidRPr="00497BAE" w:rsidRDefault="00FA2571" w:rsidP="00FA2571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共青团上海应用技术学院委员会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201</w:t>
      </w:r>
      <w:r w:rsidR="00EC2806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4</w:t>
      </w: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年</w:t>
      </w:r>
      <w:r w:rsidR="007F4A1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3</w:t>
      </w: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月</w:t>
      </w:r>
      <w:r w:rsidR="007F4A1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26</w:t>
      </w: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日印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497BAE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</w:p>
    <w:p w:rsidR="001B3377" w:rsidRDefault="00FA2571" w:rsidP="00FA2571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497BAE">
        <w:rPr>
          <w:rFonts w:ascii="宋体" w:hAnsi="宋体" w:cs="宋体" w:hint="eastAsia"/>
          <w:color w:val="000000"/>
          <w:kern w:val="0"/>
          <w:sz w:val="28"/>
          <w:szCs w:val="28"/>
        </w:rPr>
        <w:t>（共印</w:t>
      </w:r>
      <w:r w:rsidRPr="00497BAE">
        <w:rPr>
          <w:rFonts w:ascii="宋体" w:hAnsi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497BAE">
        <w:rPr>
          <w:rFonts w:ascii="宋体" w:hAnsi="宋体" w:cs="宋体" w:hint="eastAsia"/>
          <w:color w:val="000000"/>
          <w:kern w:val="0"/>
          <w:sz w:val="28"/>
          <w:szCs w:val="28"/>
        </w:rPr>
        <w:t>份）</w:t>
      </w:r>
    </w:p>
    <w:p w:rsidR="00D96ECD" w:rsidRDefault="00DC1E74" w:rsidP="00DC1E7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</w:rPr>
        <w:br w:type="page"/>
      </w:r>
      <w:r w:rsidR="00E71B93" w:rsidRPr="00CA3C81">
        <w:rPr>
          <w:rFonts w:ascii="仿宋_GB2312" w:eastAsia="仿宋_GB2312" w:hAnsi="宋体" w:cs="宋体" w:hint="eastAsia"/>
          <w:color w:val="000000"/>
          <w:kern w:val="0"/>
          <w:sz w:val="28"/>
        </w:rPr>
        <w:lastRenderedPageBreak/>
        <w:t>附件：</w:t>
      </w:r>
    </w:p>
    <w:p w:rsidR="00E71B93" w:rsidRPr="00D96ECD" w:rsidRDefault="00E71B93" w:rsidP="00A3456B">
      <w:pPr>
        <w:spacing w:beforeLines="100" w:afterLines="100" w:line="360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D96EC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201</w:t>
      </w:r>
      <w:r w:rsidR="00EC280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</w:t>
      </w:r>
      <w:r w:rsidRPr="00D96EC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年上海应用技术学院寒假社会实践优秀集体项目一览表</w:t>
      </w:r>
    </w:p>
    <w:tbl>
      <w:tblPr>
        <w:tblStyle w:val="a5"/>
        <w:tblW w:w="5175" w:type="pct"/>
        <w:tblInd w:w="-176" w:type="dxa"/>
        <w:tblLayout w:type="fixed"/>
        <w:tblLook w:val="04A0"/>
      </w:tblPr>
      <w:tblGrid>
        <w:gridCol w:w="1006"/>
        <w:gridCol w:w="6327"/>
        <w:gridCol w:w="1487"/>
      </w:tblGrid>
      <w:tr w:rsidR="00E71B93" w:rsidRPr="00E71B93" w:rsidTr="00A3456B">
        <w:trPr>
          <w:trHeight w:val="440"/>
        </w:trPr>
        <w:tc>
          <w:tcPr>
            <w:tcW w:w="570" w:type="pct"/>
            <w:noWrap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E71B93">
              <w:rPr>
                <w:rFonts w:hint="eastAsia"/>
                <w:b/>
                <w:bCs/>
                <w:sz w:val="24"/>
              </w:rPr>
              <w:t>奖项</w:t>
            </w:r>
          </w:p>
        </w:tc>
        <w:tc>
          <w:tcPr>
            <w:tcW w:w="3587" w:type="pct"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E71B93"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E71B93">
              <w:rPr>
                <w:rFonts w:hint="eastAsia"/>
                <w:b/>
                <w:bCs/>
                <w:sz w:val="24"/>
              </w:rPr>
              <w:t>单位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 w:val="restart"/>
            <w:noWrap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  <w:r w:rsidRPr="00E71B93">
              <w:rPr>
                <w:rFonts w:hint="eastAsia"/>
                <w:sz w:val="24"/>
              </w:rPr>
              <w:t>一等奖</w:t>
            </w: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食品香精认识误区及评价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香料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传递爱心正能量</w:t>
            </w:r>
            <w:r w:rsidRPr="00EC2806">
              <w:rPr>
                <w:rFonts w:hint="eastAsia"/>
                <w:sz w:val="24"/>
              </w:rPr>
              <w:t xml:space="preserve"> </w:t>
            </w:r>
            <w:r w:rsidRPr="00EC2806">
              <w:rPr>
                <w:rFonts w:hint="eastAsia"/>
                <w:sz w:val="24"/>
              </w:rPr>
              <w:t>志愿服我先行——大学生志愿者事业的发展状况和影响调查研究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工创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 w:val="restart"/>
            <w:noWrap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  <w:r w:rsidRPr="00E71B93">
              <w:rPr>
                <w:rFonts w:hint="eastAsia"/>
                <w:sz w:val="24"/>
              </w:rPr>
              <w:t>二等奖</w:t>
            </w:r>
          </w:p>
        </w:tc>
        <w:tc>
          <w:tcPr>
            <w:tcW w:w="3587" w:type="pct"/>
            <w:vAlign w:val="center"/>
            <w:hideMark/>
          </w:tcPr>
          <w:p w:rsidR="00E71B93" w:rsidRPr="00EC2806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一体化战略模式下的上海近郊轨道交通发展之路</w:t>
            </w:r>
            <w:r w:rsidRPr="00EC2806">
              <w:rPr>
                <w:rFonts w:hint="eastAsia"/>
                <w:sz w:val="24"/>
              </w:rPr>
              <w:t xml:space="preserve"> </w:t>
            </w:r>
            <w:r w:rsidRPr="00EC2806">
              <w:rPr>
                <w:rFonts w:hint="eastAsia"/>
                <w:sz w:val="24"/>
              </w:rPr>
              <w:t>——</w:t>
            </w:r>
            <w:r w:rsidRPr="00EC2806">
              <w:rPr>
                <w:rFonts w:hint="eastAsia"/>
                <w:sz w:val="24"/>
              </w:rPr>
              <w:t xml:space="preserve"> </w:t>
            </w:r>
            <w:r w:rsidRPr="00EC2806">
              <w:rPr>
                <w:rFonts w:hint="eastAsia"/>
                <w:sz w:val="24"/>
              </w:rPr>
              <w:t>以</w:t>
            </w:r>
            <w:r w:rsidRPr="00EC2806">
              <w:rPr>
                <w:rFonts w:hint="eastAsia"/>
                <w:sz w:val="24"/>
              </w:rPr>
              <w:t>16</w:t>
            </w:r>
            <w:r w:rsidRPr="00EC2806">
              <w:rPr>
                <w:rFonts w:hint="eastAsia"/>
                <w:sz w:val="24"/>
              </w:rPr>
              <w:t>号线为例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轨交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C2806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探索</w:t>
            </w:r>
            <w:r w:rsidRPr="00EC2806">
              <w:rPr>
                <w:rFonts w:hint="eastAsia"/>
                <w:sz w:val="24"/>
              </w:rPr>
              <w:t>3D</w:t>
            </w:r>
            <w:r w:rsidRPr="00EC2806">
              <w:rPr>
                <w:rFonts w:hint="eastAsia"/>
                <w:sz w:val="24"/>
              </w:rPr>
              <w:t>打印机由工业级向消费级转型后将在个人生活中的应用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城镇职工养老金并轨问题研究——以上海为例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400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拨开迷雾</w:t>
            </w:r>
            <w:r w:rsidRPr="00EC2806">
              <w:rPr>
                <w:rFonts w:hint="eastAsia"/>
                <w:sz w:val="24"/>
              </w:rPr>
              <w:t xml:space="preserve"> </w:t>
            </w:r>
            <w:r w:rsidRPr="00EC2806">
              <w:rPr>
                <w:rFonts w:hint="eastAsia"/>
                <w:sz w:val="24"/>
              </w:rPr>
              <w:t>共筑家园</w:t>
            </w:r>
            <w:r w:rsidRPr="00EC2806">
              <w:rPr>
                <w:rFonts w:hint="eastAsia"/>
                <w:sz w:val="24"/>
              </w:rPr>
              <w:t>----</w:t>
            </w:r>
            <w:r w:rsidRPr="00EC2806">
              <w:rPr>
                <w:rFonts w:hint="eastAsia"/>
                <w:sz w:val="24"/>
              </w:rPr>
              <w:t>从雾霾治理看上海生态文明建设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关注民生——外来务工在沪就业状况调研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 w:val="restart"/>
            <w:noWrap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  <w:r w:rsidRPr="00E71B93">
              <w:rPr>
                <w:rFonts w:hint="eastAsia"/>
                <w:sz w:val="24"/>
              </w:rPr>
              <w:t>三等奖</w:t>
            </w: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能源电池打开世界环保之门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古桥古韵美江南——奉贤古桥现状调查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  <w:r w:rsidRPr="00E71B93">
              <w:rPr>
                <w:rFonts w:hint="eastAsia"/>
                <w:sz w:val="24"/>
              </w:rPr>
              <w:t>人文学院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高校社团现状分析与发展模式调研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校园绿色自行车的悲惨现状——绿色自行车错了么？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城建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新装修房间内苯污染的治理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放开“单独二胎”政策后，上海地区居民的经济收入因素对于养育第二胎决定的影响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582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大学生志愿者事业的发展状况和影响调查研究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669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老年人家庭赡养问题的调查和研究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669"/>
        </w:trPr>
        <w:tc>
          <w:tcPr>
            <w:tcW w:w="570" w:type="pct"/>
            <w:vMerge w:val="restart"/>
            <w:noWrap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  <w:r w:rsidRPr="00E71B93">
              <w:rPr>
                <w:rFonts w:hint="eastAsia"/>
                <w:sz w:val="24"/>
              </w:rPr>
              <w:t>优胜奖</w:t>
            </w: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小班导模式对大一新生培养的优缺点调研——以我校为例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</w:tr>
      <w:tr w:rsidR="00E71B93" w:rsidRPr="00E71B93" w:rsidTr="00A3456B">
        <w:trPr>
          <w:trHeight w:val="334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当代大学生志愿者活动的发展及影响——分析海湾三校大学生志愿者活动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  <w:r w:rsidR="00E71B93" w:rsidRPr="00E71B93">
              <w:rPr>
                <w:rFonts w:hint="eastAsia"/>
                <w:sz w:val="24"/>
              </w:rPr>
              <w:t>学院</w:t>
            </w:r>
          </w:p>
        </w:tc>
      </w:tr>
      <w:tr w:rsidR="00E71B93" w:rsidRPr="00E71B93" w:rsidTr="00A3456B">
        <w:trPr>
          <w:trHeight w:val="669"/>
        </w:trPr>
        <w:tc>
          <w:tcPr>
            <w:tcW w:w="570" w:type="pct"/>
            <w:vMerge/>
            <w:vAlign w:val="center"/>
            <w:hideMark/>
          </w:tcPr>
          <w:p w:rsidR="00E71B93" w:rsidRPr="00E71B93" w:rsidRDefault="00E71B93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 w:rsidRPr="00EC2806">
              <w:rPr>
                <w:rFonts w:hint="eastAsia"/>
                <w:sz w:val="24"/>
              </w:rPr>
              <w:t>当代青年对于传统阅读的重视程度</w:t>
            </w:r>
          </w:p>
        </w:tc>
        <w:tc>
          <w:tcPr>
            <w:tcW w:w="843" w:type="pct"/>
            <w:vAlign w:val="center"/>
            <w:hideMark/>
          </w:tcPr>
          <w:p w:rsidR="00E71B93" w:rsidRPr="00E71B93" w:rsidRDefault="00EC2806" w:rsidP="00A3456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  <w:r w:rsidR="005E1D60">
              <w:rPr>
                <w:rFonts w:hint="eastAsia"/>
                <w:sz w:val="24"/>
              </w:rPr>
              <w:t>学院</w:t>
            </w:r>
          </w:p>
        </w:tc>
      </w:tr>
      <w:tr w:rsidR="00A3456B" w:rsidRPr="00E71B93" w:rsidTr="00A3456B">
        <w:trPr>
          <w:trHeight w:val="669"/>
        </w:trPr>
        <w:tc>
          <w:tcPr>
            <w:tcW w:w="570" w:type="pct"/>
            <w:vAlign w:val="center"/>
            <w:hideMark/>
          </w:tcPr>
          <w:p w:rsidR="00A3456B" w:rsidRPr="00E71B93" w:rsidRDefault="00A3456B" w:rsidP="00A3456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587" w:type="pct"/>
            <w:vAlign w:val="center"/>
            <w:hideMark/>
          </w:tcPr>
          <w:p w:rsidR="00A3456B" w:rsidRPr="00EC2806" w:rsidRDefault="00A3456B" w:rsidP="00A3456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A3456B">
              <w:rPr>
                <w:rFonts w:hint="eastAsia"/>
                <w:sz w:val="24"/>
              </w:rPr>
              <w:t>香港高等教育现代化、国际化的特点及启示——以香港大学和香港理工大学为例</w:t>
            </w:r>
          </w:p>
        </w:tc>
        <w:tc>
          <w:tcPr>
            <w:tcW w:w="843" w:type="pct"/>
            <w:vAlign w:val="center"/>
            <w:hideMark/>
          </w:tcPr>
          <w:p w:rsidR="00A3456B" w:rsidRDefault="00A3456B" w:rsidP="00A3456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电气学院</w:t>
            </w:r>
          </w:p>
        </w:tc>
      </w:tr>
    </w:tbl>
    <w:p w:rsidR="00E71B93" w:rsidRDefault="00E71B93" w:rsidP="00FA2571"/>
    <w:sectPr w:rsidR="00E71B93" w:rsidSect="0005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BE" w:rsidRDefault="000564BE" w:rsidP="00FA2571">
      <w:r>
        <w:separator/>
      </w:r>
    </w:p>
  </w:endnote>
  <w:endnote w:type="continuationSeparator" w:id="1">
    <w:p w:rsidR="000564BE" w:rsidRDefault="000564BE" w:rsidP="00FA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BE" w:rsidRDefault="000564BE" w:rsidP="00FA2571">
      <w:r>
        <w:separator/>
      </w:r>
    </w:p>
  </w:footnote>
  <w:footnote w:type="continuationSeparator" w:id="1">
    <w:p w:rsidR="000564BE" w:rsidRDefault="000564BE" w:rsidP="00FA2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571"/>
    <w:rsid w:val="00053F0D"/>
    <w:rsid w:val="000564BE"/>
    <w:rsid w:val="000B7EFD"/>
    <w:rsid w:val="001B0521"/>
    <w:rsid w:val="001B3377"/>
    <w:rsid w:val="0021740B"/>
    <w:rsid w:val="003D670F"/>
    <w:rsid w:val="00441200"/>
    <w:rsid w:val="0046199D"/>
    <w:rsid w:val="004F73F9"/>
    <w:rsid w:val="00517F5C"/>
    <w:rsid w:val="005A50D8"/>
    <w:rsid w:val="005E1D60"/>
    <w:rsid w:val="005F6F7C"/>
    <w:rsid w:val="00682B38"/>
    <w:rsid w:val="006D17FF"/>
    <w:rsid w:val="0073348B"/>
    <w:rsid w:val="007D6D48"/>
    <w:rsid w:val="007F1A0D"/>
    <w:rsid w:val="007F4A12"/>
    <w:rsid w:val="00833100"/>
    <w:rsid w:val="00891CDB"/>
    <w:rsid w:val="009321DF"/>
    <w:rsid w:val="00A3456B"/>
    <w:rsid w:val="00D4662C"/>
    <w:rsid w:val="00D509FE"/>
    <w:rsid w:val="00D96ECD"/>
    <w:rsid w:val="00DC1E74"/>
    <w:rsid w:val="00E71B93"/>
    <w:rsid w:val="00E81D2F"/>
    <w:rsid w:val="00EC2806"/>
    <w:rsid w:val="00F7663A"/>
    <w:rsid w:val="00F94FFF"/>
    <w:rsid w:val="00F95325"/>
    <w:rsid w:val="00FA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571"/>
    <w:rPr>
      <w:sz w:val="18"/>
      <w:szCs w:val="18"/>
    </w:rPr>
  </w:style>
  <w:style w:type="table" w:styleId="a5">
    <w:name w:val="Table Grid"/>
    <w:basedOn w:val="a1"/>
    <w:uiPriority w:val="59"/>
    <w:rsid w:val="00E71B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191</Words>
  <Characters>1091</Characters>
  <Application>Microsoft Office Word</Application>
  <DocSecurity>0</DocSecurity>
  <Lines>9</Lines>
  <Paragraphs>2</Paragraphs>
  <ScaleCrop>false</ScaleCrop>
  <Company>delloem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王晓琳</cp:lastModifiedBy>
  <cp:revision>20</cp:revision>
  <dcterms:created xsi:type="dcterms:W3CDTF">2013-04-01T03:06:00Z</dcterms:created>
  <dcterms:modified xsi:type="dcterms:W3CDTF">2014-03-27T01:43:00Z</dcterms:modified>
</cp:coreProperties>
</file>